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DA76E" w14:textId="1171F5FE" w:rsidR="009D1D16" w:rsidRPr="009D1D16" w:rsidRDefault="009D1D16" w:rsidP="009D1D16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i/>
          <w:noProof/>
          <w:sz w:val="24"/>
          <w:szCs w:val="20"/>
          <w:lang w:val="en-GB" w:eastAsia="ja-JP"/>
        </w:rPr>
      </w:pPr>
      <w:r w:rsidRPr="009D1D16">
        <w:rPr>
          <w:rFonts w:ascii="Arial" w:eastAsia="Times New Roman" w:hAnsi="Arial" w:cs="Arial"/>
          <w:b/>
          <w:noProof/>
          <w:sz w:val="24"/>
          <w:szCs w:val="20"/>
          <w:lang w:val="en-GB" w:eastAsia="ja-JP"/>
        </w:rPr>
        <w:t>TSG-RAN Working Group 4 (Radio) meeting #88bis</w:t>
      </w:r>
      <w:r w:rsidRPr="009D1D16">
        <w:rPr>
          <w:rFonts w:ascii="Arial" w:eastAsia="Times New Roman" w:hAnsi="Arial" w:cs="Arial"/>
          <w:b/>
          <w:i/>
          <w:noProof/>
          <w:sz w:val="24"/>
          <w:szCs w:val="20"/>
          <w:lang w:val="en-GB" w:eastAsia="ja-JP"/>
        </w:rPr>
        <w:tab/>
      </w:r>
      <w:r w:rsidR="000920E7">
        <w:rPr>
          <w:rFonts w:ascii="Arial" w:eastAsia="Times New Roman" w:hAnsi="Arial" w:cs="Arial"/>
          <w:b/>
          <w:iCs/>
          <w:noProof/>
          <w:sz w:val="24"/>
          <w:szCs w:val="20"/>
          <w:lang w:val="en-GB" w:eastAsia="ja-JP"/>
        </w:rPr>
        <w:t>R4-1815880</w:t>
      </w:r>
      <w:bookmarkStart w:id="0" w:name="_GoBack"/>
      <w:bookmarkEnd w:id="0"/>
    </w:p>
    <w:p w14:paraId="172CD845" w14:textId="3462E2AB" w:rsidR="009D1D16" w:rsidRPr="009D1D16" w:rsidRDefault="004145B9" w:rsidP="009D1D16">
      <w:pPr>
        <w:widowControl w:val="0"/>
        <w:tabs>
          <w:tab w:val="right" w:pos="10206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Times New Roman" w:hAnsi="Arial" w:cs="Arial"/>
          <w:b/>
          <w:noProof/>
          <w:sz w:val="24"/>
          <w:szCs w:val="20"/>
          <w:lang w:val="en-GB" w:eastAsia="ja-JP"/>
        </w:rPr>
      </w:pPr>
      <w:r>
        <w:rPr>
          <w:rFonts w:ascii="Arial" w:eastAsia="Times New Roman" w:hAnsi="Arial" w:cs="Arial"/>
          <w:b/>
          <w:noProof/>
          <w:sz w:val="24"/>
          <w:szCs w:val="20"/>
          <w:lang w:val="en-GB" w:eastAsia="ja-JP"/>
        </w:rPr>
        <w:t>Spokane</w:t>
      </w:r>
      <w:r w:rsidR="009D1D16" w:rsidRPr="009D1D16">
        <w:rPr>
          <w:rFonts w:ascii="Arial" w:eastAsia="Times New Roman" w:hAnsi="Arial" w:cs="Arial"/>
          <w:b/>
          <w:noProof/>
          <w:sz w:val="24"/>
          <w:szCs w:val="20"/>
          <w:lang w:val="en-GB" w:eastAsia="ja-JP"/>
        </w:rPr>
        <w:t xml:space="preserve">, </w:t>
      </w:r>
      <w:r>
        <w:rPr>
          <w:rFonts w:ascii="Arial" w:eastAsia="Times New Roman" w:hAnsi="Arial" w:cs="Arial"/>
          <w:b/>
          <w:noProof/>
          <w:sz w:val="24"/>
          <w:szCs w:val="20"/>
          <w:lang w:val="en-GB" w:eastAsia="ja-JP"/>
        </w:rPr>
        <w:t>United States</w:t>
      </w:r>
      <w:r w:rsidR="009D1D16" w:rsidRPr="009D1D16">
        <w:rPr>
          <w:rFonts w:ascii="Arial" w:eastAsia="Times New Roman" w:hAnsi="Arial" w:cs="Arial"/>
          <w:b/>
          <w:noProof/>
          <w:sz w:val="24"/>
          <w:szCs w:val="20"/>
          <w:lang w:val="en-GB" w:eastAsia="ja-JP"/>
        </w:rPr>
        <w:t xml:space="preserve">, </w:t>
      </w:r>
      <w:r>
        <w:rPr>
          <w:rFonts w:ascii="Arial" w:eastAsia="Times New Roman" w:hAnsi="Arial" w:cs="Arial"/>
          <w:b/>
          <w:noProof/>
          <w:sz w:val="24"/>
          <w:szCs w:val="20"/>
          <w:lang w:val="en-GB" w:eastAsia="ja-JP"/>
        </w:rPr>
        <w:t>12</w:t>
      </w:r>
      <w:r w:rsidR="009D1D16" w:rsidRPr="009D1D16">
        <w:rPr>
          <w:rFonts w:ascii="Arial" w:eastAsia="Times New Roman" w:hAnsi="Arial" w:cs="Arial"/>
          <w:b/>
          <w:noProof/>
          <w:sz w:val="24"/>
          <w:szCs w:val="20"/>
          <w:vertAlign w:val="superscript"/>
          <w:lang w:val="en-GB" w:eastAsia="ja-JP"/>
        </w:rPr>
        <w:t>th</w:t>
      </w:r>
      <w:r w:rsidR="009D1D16" w:rsidRPr="009D1D16">
        <w:rPr>
          <w:rFonts w:ascii="Arial" w:eastAsia="Times New Roman" w:hAnsi="Arial" w:cs="Arial"/>
          <w:b/>
          <w:noProof/>
          <w:sz w:val="24"/>
          <w:szCs w:val="20"/>
          <w:lang w:val="en-GB" w:eastAsia="ja-JP"/>
        </w:rPr>
        <w:t xml:space="preserve"> – 1</w:t>
      </w:r>
      <w:r>
        <w:rPr>
          <w:rFonts w:ascii="Arial" w:eastAsia="Times New Roman" w:hAnsi="Arial" w:cs="Arial"/>
          <w:b/>
          <w:noProof/>
          <w:sz w:val="24"/>
          <w:szCs w:val="20"/>
          <w:lang w:val="en-GB" w:eastAsia="ja-JP"/>
        </w:rPr>
        <w:t>6</w:t>
      </w:r>
      <w:r w:rsidR="009D1D16" w:rsidRPr="009D1D16">
        <w:rPr>
          <w:rFonts w:ascii="Arial" w:eastAsia="Times New Roman" w:hAnsi="Arial" w:cs="Arial"/>
          <w:b/>
          <w:noProof/>
          <w:sz w:val="24"/>
          <w:szCs w:val="20"/>
          <w:vertAlign w:val="superscript"/>
          <w:lang w:val="en-GB" w:eastAsia="ja-JP"/>
        </w:rPr>
        <w:t>th</w:t>
      </w:r>
      <w:r w:rsidR="009D1D16" w:rsidRPr="009D1D16">
        <w:rPr>
          <w:rFonts w:ascii="Arial" w:eastAsia="Times New Roman" w:hAnsi="Arial" w:cs="Arial"/>
          <w:b/>
          <w:noProof/>
          <w:sz w:val="24"/>
          <w:szCs w:val="20"/>
          <w:lang w:val="en-GB" w:eastAsia="ja-JP"/>
        </w:rPr>
        <w:t xml:space="preserve"> </w:t>
      </w:r>
      <w:r>
        <w:rPr>
          <w:rFonts w:ascii="Arial" w:eastAsia="Times New Roman" w:hAnsi="Arial" w:cs="Arial"/>
          <w:b/>
          <w:noProof/>
          <w:sz w:val="24"/>
          <w:szCs w:val="20"/>
          <w:lang w:val="en-GB" w:eastAsia="ja-JP"/>
        </w:rPr>
        <w:t>Novem</w:t>
      </w:r>
      <w:r w:rsidR="009D1D16" w:rsidRPr="009D1D16">
        <w:rPr>
          <w:rFonts w:ascii="Arial" w:eastAsia="Times New Roman" w:hAnsi="Arial" w:cs="Arial"/>
          <w:b/>
          <w:noProof/>
          <w:sz w:val="24"/>
          <w:szCs w:val="20"/>
          <w:lang w:val="en-GB" w:eastAsia="ja-JP"/>
        </w:rPr>
        <w:t>ber 2018</w:t>
      </w:r>
    </w:p>
    <w:p w14:paraId="2E717B9D" w14:textId="77777777" w:rsidR="009D1D16" w:rsidRPr="009D1D16" w:rsidRDefault="009D1D16" w:rsidP="009D1D16">
      <w:pPr>
        <w:spacing w:after="12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14:paraId="529FFC21" w14:textId="77777777" w:rsidR="009D1D16" w:rsidRPr="009D1D16" w:rsidRDefault="009D1D16" w:rsidP="009D1D16">
      <w:pPr>
        <w:spacing w:after="12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9D1D16">
        <w:rPr>
          <w:rFonts w:ascii="Arial" w:eastAsia="Times New Roman" w:hAnsi="Arial" w:cs="Arial"/>
          <w:b/>
          <w:sz w:val="20"/>
          <w:szCs w:val="20"/>
          <w:lang w:val="en-GB"/>
        </w:rPr>
        <w:t>Source:</w:t>
      </w:r>
      <w:r w:rsidRPr="009D1D1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9D1D16">
        <w:rPr>
          <w:rFonts w:ascii="Arial" w:eastAsia="Times New Roman" w:hAnsi="Arial" w:cs="Arial"/>
          <w:bCs/>
          <w:sz w:val="20"/>
          <w:szCs w:val="20"/>
          <w:lang w:val="en-GB"/>
        </w:rPr>
        <w:t>Ericsson</w:t>
      </w:r>
    </w:p>
    <w:p w14:paraId="5E98681F" w14:textId="0589DFDE" w:rsidR="009D1D16" w:rsidRPr="009D1D16" w:rsidRDefault="009D1D16" w:rsidP="009D1D16">
      <w:pPr>
        <w:spacing w:after="120" w:line="240" w:lineRule="auto"/>
        <w:ind w:left="1985" w:hanging="1985"/>
        <w:rPr>
          <w:rFonts w:ascii="Arial" w:eastAsia="Times New Roman" w:hAnsi="Arial" w:cs="Arial"/>
          <w:bCs/>
          <w:color w:val="FF0000"/>
          <w:sz w:val="20"/>
          <w:szCs w:val="20"/>
          <w:lang w:val="en-GB"/>
        </w:rPr>
      </w:pPr>
      <w:r w:rsidRPr="009D1D16">
        <w:rPr>
          <w:rFonts w:ascii="Arial" w:eastAsia="Times New Roman" w:hAnsi="Arial" w:cs="Arial"/>
          <w:b/>
          <w:sz w:val="20"/>
          <w:szCs w:val="20"/>
          <w:lang w:val="en-GB"/>
        </w:rPr>
        <w:t>Title:</w:t>
      </w:r>
      <w:r w:rsidRPr="009D1D1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9D1D16">
        <w:rPr>
          <w:rFonts w:ascii="Arial" w:eastAsia="Times New Roman" w:hAnsi="Arial" w:cs="Arial"/>
          <w:sz w:val="20"/>
          <w:szCs w:val="20"/>
          <w:lang w:val="en-GB"/>
        </w:rPr>
        <w:t>Proposal for automated pre-scan for spurious emissions TRP</w:t>
      </w:r>
    </w:p>
    <w:p w14:paraId="17DF6599" w14:textId="5C4CE050" w:rsidR="009D1D16" w:rsidRPr="008B03AE" w:rsidRDefault="009D1D16" w:rsidP="009D1D16">
      <w:pPr>
        <w:spacing w:after="120" w:line="240" w:lineRule="auto"/>
        <w:ind w:left="1985" w:hanging="1985"/>
        <w:rPr>
          <w:rFonts w:ascii="Arial" w:eastAsia="Times New Roman" w:hAnsi="Arial" w:cs="Arial"/>
          <w:bCs/>
          <w:color w:val="FF0000"/>
          <w:sz w:val="20"/>
          <w:szCs w:val="20"/>
        </w:rPr>
      </w:pPr>
      <w:r w:rsidRPr="008B03AE">
        <w:rPr>
          <w:rFonts w:ascii="Arial" w:eastAsia="Times New Roman" w:hAnsi="Arial" w:cs="Arial"/>
          <w:b/>
          <w:sz w:val="20"/>
          <w:szCs w:val="20"/>
        </w:rPr>
        <w:t>Agenda item:</w:t>
      </w:r>
      <w:r w:rsidRPr="008B03AE">
        <w:rPr>
          <w:rFonts w:ascii="Arial" w:eastAsia="Times New Roman" w:hAnsi="Arial" w:cs="Arial"/>
          <w:b/>
          <w:sz w:val="20"/>
          <w:szCs w:val="20"/>
        </w:rPr>
        <w:tab/>
      </w:r>
      <w:r w:rsidR="00B16E03" w:rsidRPr="00B16E03">
        <w:rPr>
          <w:rFonts w:ascii="Arial" w:eastAsia="Times New Roman" w:hAnsi="Arial" w:cs="Arial"/>
          <w:bCs/>
          <w:sz w:val="20"/>
          <w:szCs w:val="20"/>
        </w:rPr>
        <w:t>7.9.4.4.7</w:t>
      </w:r>
    </w:p>
    <w:p w14:paraId="70496D7B" w14:textId="0EA25B86" w:rsidR="009D1D16" w:rsidRPr="009D1D16" w:rsidRDefault="009D1D16" w:rsidP="009D1D16">
      <w:pPr>
        <w:spacing w:after="120" w:line="240" w:lineRule="auto"/>
        <w:ind w:left="1985" w:hanging="1985"/>
        <w:rPr>
          <w:rFonts w:ascii="Arial" w:eastAsia="Times New Roman" w:hAnsi="Arial" w:cs="Arial"/>
          <w:bCs/>
          <w:color w:val="FF0000"/>
          <w:sz w:val="20"/>
          <w:szCs w:val="20"/>
          <w:lang w:val="en-GB"/>
        </w:rPr>
      </w:pPr>
      <w:r w:rsidRPr="009D1D16">
        <w:rPr>
          <w:rFonts w:ascii="Arial" w:eastAsia="Times New Roman" w:hAnsi="Arial" w:cs="Arial"/>
          <w:b/>
          <w:sz w:val="20"/>
          <w:szCs w:val="20"/>
          <w:lang w:val="en-GB"/>
        </w:rPr>
        <w:t>Document for:</w:t>
      </w:r>
      <w:r w:rsidRPr="009D1D1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sz w:val="20"/>
          <w:szCs w:val="20"/>
          <w:lang w:val="en-GB"/>
        </w:rPr>
        <w:t>Discussion</w:t>
      </w:r>
      <w:r w:rsidR="008B03AE">
        <w:rPr>
          <w:rFonts w:ascii="Arial" w:eastAsia="Times New Roman" w:hAnsi="Arial" w:cs="Arial"/>
          <w:sz w:val="20"/>
          <w:szCs w:val="20"/>
          <w:lang w:val="en-GB"/>
        </w:rPr>
        <w:t xml:space="preserve"> and approval</w:t>
      </w:r>
    </w:p>
    <w:p w14:paraId="4BF9EBCA" w14:textId="77777777" w:rsidR="009D1D16" w:rsidRPr="009D1D16" w:rsidRDefault="009D1D16" w:rsidP="009D1D16">
      <w:pPr>
        <w:pBdr>
          <w:bottom w:val="single" w:sz="4" w:space="1" w:color="auto"/>
        </w:pBdr>
        <w:spacing w:after="18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4DD771A2" w14:textId="77777777" w:rsidR="009D1D16" w:rsidRPr="009D1D16" w:rsidRDefault="009D1D16" w:rsidP="009D1D16">
      <w:pPr>
        <w:keepNext/>
        <w:numPr>
          <w:ilvl w:val="0"/>
          <w:numId w:val="1"/>
        </w:numPr>
        <w:spacing w:after="240" w:line="240" w:lineRule="auto"/>
        <w:ind w:right="284" w:hanging="720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 w:rsidRPr="009D1D16">
        <w:rPr>
          <w:rFonts w:ascii="Arial" w:eastAsia="Times New Roman" w:hAnsi="Arial" w:cs="Times New Roman"/>
          <w:sz w:val="36"/>
          <w:szCs w:val="20"/>
          <w:lang w:val="en-GB"/>
        </w:rPr>
        <w:t>Introduction</w:t>
      </w:r>
    </w:p>
    <w:p w14:paraId="4AC7088A" w14:textId="32FBE894" w:rsidR="009D1D16" w:rsidRPr="009D1D16" w:rsidRDefault="009D1D16" w:rsidP="009D1D16">
      <w:pPr>
        <w:rPr>
          <w:rFonts w:ascii="Arial" w:eastAsia="Times New Roman" w:hAnsi="Arial" w:cs="Arial"/>
          <w:sz w:val="20"/>
          <w:szCs w:val="20"/>
          <w:lang w:val="en-GB"/>
        </w:rPr>
      </w:pPr>
      <w:r w:rsidRPr="009D1D16">
        <w:rPr>
          <w:rFonts w:ascii="Arial" w:eastAsia="Times New Roman" w:hAnsi="Arial" w:cs="Arial"/>
          <w:sz w:val="20"/>
          <w:szCs w:val="20"/>
          <w:lang w:val="en-GB"/>
        </w:rPr>
        <w:t xml:space="preserve">Pre-scan is a coarse method with the purpose to identify frequencies of critical emissions. The classical EMC pre-scan approach is based on measurements with a handheld measurement antenna used to find and locate the directions of critical emissions. These measurements are then followed by more accurate measurements of peak EIRP. </w:t>
      </w:r>
      <w:r>
        <w:rPr>
          <w:rFonts w:ascii="Arial" w:eastAsia="Times New Roman" w:hAnsi="Arial" w:cs="Arial"/>
          <w:sz w:val="20"/>
          <w:szCs w:val="20"/>
          <w:lang w:val="en-GB"/>
        </w:rPr>
        <w:t xml:space="preserve">As handheld measurements are not viable for the case of </w:t>
      </w:r>
      <w:r w:rsidR="00F715F0">
        <w:rPr>
          <w:rFonts w:ascii="Arial" w:eastAsia="Times New Roman" w:hAnsi="Arial" w:cs="Arial"/>
          <w:sz w:val="20"/>
          <w:szCs w:val="20"/>
          <w:lang w:val="en-GB"/>
        </w:rPr>
        <w:t xml:space="preserve">OTA </w:t>
      </w:r>
      <w:r>
        <w:rPr>
          <w:rFonts w:ascii="Arial" w:eastAsia="Times New Roman" w:hAnsi="Arial" w:cs="Arial"/>
          <w:sz w:val="20"/>
          <w:szCs w:val="20"/>
          <w:lang w:val="en-GB"/>
        </w:rPr>
        <w:t>AAS BS</w:t>
      </w:r>
      <w:r w:rsidR="00F715F0">
        <w:rPr>
          <w:rFonts w:ascii="Arial" w:eastAsia="Times New Roman" w:hAnsi="Arial" w:cs="Arial"/>
          <w:sz w:val="20"/>
          <w:szCs w:val="20"/>
          <w:lang w:val="en-GB"/>
        </w:rPr>
        <w:t xml:space="preserve">, </w:t>
      </w:r>
      <w:proofErr w:type="gramStart"/>
      <w:r w:rsidR="00F715F0">
        <w:rPr>
          <w:rFonts w:ascii="Arial" w:eastAsia="Times New Roman" w:hAnsi="Arial" w:cs="Arial"/>
          <w:sz w:val="20"/>
          <w:szCs w:val="20"/>
          <w:lang w:val="en-GB"/>
        </w:rPr>
        <w:t>and also</w:t>
      </w:r>
      <w:proofErr w:type="gramEnd"/>
      <w:r w:rsidR="00F715F0">
        <w:rPr>
          <w:rFonts w:ascii="Arial" w:eastAsia="Times New Roman" w:hAnsi="Arial" w:cs="Arial"/>
          <w:sz w:val="20"/>
          <w:szCs w:val="20"/>
          <w:lang w:val="en-GB"/>
        </w:rPr>
        <w:t xml:space="preserve"> NR BS Type 2-0,</w:t>
      </w:r>
      <w:r>
        <w:rPr>
          <w:rFonts w:ascii="Arial" w:eastAsia="Times New Roman" w:hAnsi="Arial" w:cs="Arial"/>
          <w:sz w:val="20"/>
          <w:szCs w:val="20"/>
          <w:lang w:val="en-GB"/>
        </w:rPr>
        <w:t xml:space="preserve"> due to high RF </w:t>
      </w:r>
      <w:r w:rsidR="006667F9">
        <w:rPr>
          <w:rFonts w:ascii="Arial" w:eastAsia="Times New Roman" w:hAnsi="Arial" w:cs="Arial"/>
          <w:sz w:val="20"/>
          <w:szCs w:val="20"/>
          <w:lang w:val="en-GB"/>
        </w:rPr>
        <w:t xml:space="preserve">output </w:t>
      </w:r>
      <w:r>
        <w:rPr>
          <w:rFonts w:ascii="Arial" w:eastAsia="Times New Roman" w:hAnsi="Arial" w:cs="Arial"/>
          <w:sz w:val="20"/>
          <w:szCs w:val="20"/>
          <w:lang w:val="en-GB"/>
        </w:rPr>
        <w:t>power, t</w:t>
      </w:r>
      <w:r w:rsidRPr="009D1D16">
        <w:rPr>
          <w:rFonts w:ascii="Arial" w:eastAsia="Times New Roman" w:hAnsi="Arial" w:cs="Arial"/>
          <w:sz w:val="20"/>
          <w:szCs w:val="20"/>
          <w:lang w:val="en-GB"/>
        </w:rPr>
        <w:t>here is a need for a pre-scan method that c</w:t>
      </w:r>
      <w:r w:rsidR="00631885">
        <w:rPr>
          <w:rFonts w:ascii="Arial" w:eastAsia="Times New Roman" w:hAnsi="Arial" w:cs="Arial"/>
          <w:sz w:val="20"/>
          <w:szCs w:val="20"/>
          <w:lang w:val="en-GB"/>
        </w:rPr>
        <w:t xml:space="preserve">an be automated. The proposed method is </w:t>
      </w:r>
      <w:r w:rsidRPr="009D1D16">
        <w:rPr>
          <w:rFonts w:ascii="Arial" w:eastAsia="Times New Roman" w:hAnsi="Arial" w:cs="Arial"/>
          <w:sz w:val="20"/>
          <w:szCs w:val="20"/>
          <w:lang w:val="en-GB"/>
        </w:rPr>
        <w:t xml:space="preserve">based on spatial </w:t>
      </w:r>
      <w:r w:rsidR="00192CCD" w:rsidRPr="009D1D16">
        <w:rPr>
          <w:rFonts w:ascii="Arial" w:eastAsia="Times New Roman" w:hAnsi="Arial" w:cs="Arial"/>
          <w:sz w:val="20"/>
          <w:szCs w:val="20"/>
          <w:lang w:val="en-GB"/>
        </w:rPr>
        <w:t>averaging and</w:t>
      </w:r>
      <w:r w:rsidRPr="009D1D16">
        <w:rPr>
          <w:rFonts w:ascii="Arial" w:eastAsia="Times New Roman" w:hAnsi="Arial" w:cs="Arial"/>
          <w:sz w:val="20"/>
          <w:szCs w:val="20"/>
          <w:lang w:val="en-GB"/>
        </w:rPr>
        <w:t xml:space="preserve"> has a controlled uncertainty.</w:t>
      </w:r>
    </w:p>
    <w:p w14:paraId="298C0D27" w14:textId="77777777" w:rsidR="009D1D16" w:rsidRPr="009D1D16" w:rsidRDefault="009D1D16" w:rsidP="009D1D16">
      <w:pPr>
        <w:pBdr>
          <w:bottom w:val="single" w:sz="4" w:space="1" w:color="auto"/>
        </w:pBdr>
        <w:spacing w:after="18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431DF43E" w14:textId="77777777" w:rsidR="009D1D16" w:rsidRPr="009D1D16" w:rsidRDefault="009D1D16" w:rsidP="009D1D16">
      <w:pPr>
        <w:keepNext/>
        <w:numPr>
          <w:ilvl w:val="0"/>
          <w:numId w:val="1"/>
        </w:numPr>
        <w:spacing w:after="240" w:line="240" w:lineRule="auto"/>
        <w:ind w:right="284" w:hanging="720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 w:rsidRPr="009D1D16">
        <w:rPr>
          <w:rFonts w:ascii="Arial" w:eastAsia="Times New Roman" w:hAnsi="Arial" w:cs="Times New Roman"/>
          <w:sz w:val="36"/>
          <w:szCs w:val="20"/>
          <w:lang w:val="en-GB"/>
        </w:rPr>
        <w:t>Discussion</w:t>
      </w:r>
    </w:p>
    <w:p w14:paraId="3F39DE92" w14:textId="738F5B6A" w:rsidR="009D1D16" w:rsidRPr="009D1D16" w:rsidRDefault="009D1D16" w:rsidP="009D1D16">
      <w:pPr>
        <w:rPr>
          <w:rFonts w:ascii="Arial" w:eastAsia="Times New Roman" w:hAnsi="Arial" w:cs="Arial"/>
          <w:sz w:val="20"/>
          <w:szCs w:val="20"/>
          <w:lang w:val="en-GB"/>
        </w:rPr>
      </w:pPr>
      <w:r>
        <w:rPr>
          <w:rFonts w:ascii="Arial" w:eastAsia="Times New Roman" w:hAnsi="Arial" w:cs="Arial"/>
          <w:sz w:val="20"/>
          <w:szCs w:val="20"/>
          <w:lang w:val="en-GB"/>
        </w:rPr>
        <w:t>One important observation is</w:t>
      </w:r>
      <w:r w:rsidRPr="009D1D16">
        <w:rPr>
          <w:rFonts w:ascii="Arial" w:eastAsia="Times New Roman" w:hAnsi="Arial" w:cs="Arial"/>
          <w:sz w:val="20"/>
          <w:szCs w:val="20"/>
          <w:lang w:val="en-GB"/>
        </w:rPr>
        <w:t xml:space="preserve"> that the peak of the EIRP does not need to be identified for TRP assessment. Furthermore, the uncertainty related to finding/missing the peak has not been addressed in any previous contribution.</w:t>
      </w:r>
    </w:p>
    <w:p w14:paraId="3C7DA799" w14:textId="11040B45" w:rsidR="006E0E9C" w:rsidRPr="009D1D16" w:rsidRDefault="009D1D16" w:rsidP="009D1D16">
      <w:pPr>
        <w:rPr>
          <w:rFonts w:ascii="Arial" w:eastAsia="Times New Roman" w:hAnsi="Arial" w:cs="Arial"/>
          <w:sz w:val="20"/>
          <w:szCs w:val="20"/>
          <w:lang w:val="en-GB"/>
        </w:rPr>
      </w:pPr>
      <w:r w:rsidRPr="009D1D16">
        <w:rPr>
          <w:rFonts w:ascii="Arial" w:eastAsia="Times New Roman" w:hAnsi="Arial" w:cs="Arial"/>
          <w:sz w:val="20"/>
          <w:szCs w:val="20"/>
          <w:lang w:val="en-GB"/>
        </w:rPr>
        <w:t>A sparse sampling analysis [1] has been performed for three different fractions D/λ=10,20,40 corr</w:t>
      </w:r>
      <w:r w:rsidR="00192CCD">
        <w:rPr>
          <w:rFonts w:ascii="Arial" w:eastAsia="Times New Roman" w:hAnsi="Arial" w:cs="Arial"/>
          <w:sz w:val="20"/>
          <w:szCs w:val="20"/>
          <w:lang w:val="en-GB"/>
        </w:rPr>
        <w:t xml:space="preserve">esponding to reference steps </w:t>
      </w:r>
      <w:proofErr w:type="spellStart"/>
      <w:r w:rsidR="00192CCD">
        <w:rPr>
          <w:rFonts w:ascii="Arial" w:eastAsia="Times New Roman" w:hAnsi="Arial" w:cs="Arial"/>
          <w:sz w:val="20"/>
          <w:szCs w:val="20"/>
          <w:lang w:val="en-GB"/>
        </w:rPr>
        <w:t>Δθ</w:t>
      </w:r>
      <w:r w:rsidR="00192CCD">
        <w:rPr>
          <w:rFonts w:ascii="Arial" w:eastAsia="Times New Roman" w:hAnsi="Arial" w:cs="Arial"/>
          <w:sz w:val="20"/>
          <w:szCs w:val="20"/>
          <w:vertAlign w:val="subscript"/>
          <w:lang w:val="en-GB"/>
        </w:rPr>
        <w:t>ref</w:t>
      </w:r>
      <w:proofErr w:type="spellEnd"/>
      <w:r w:rsidR="00192CCD">
        <w:rPr>
          <w:rFonts w:ascii="Arial" w:eastAsia="Times New Roman" w:hAnsi="Arial" w:cs="Arial"/>
          <w:sz w:val="20"/>
          <w:szCs w:val="20"/>
          <w:lang w:val="en-GB"/>
        </w:rPr>
        <w:t>=</w:t>
      </w:r>
      <w:proofErr w:type="spellStart"/>
      <w:r w:rsidRPr="009D1D16">
        <w:rPr>
          <w:rFonts w:ascii="Arial" w:eastAsia="Times New Roman" w:hAnsi="Arial" w:cs="Arial"/>
          <w:sz w:val="20"/>
          <w:szCs w:val="20"/>
          <w:lang w:val="en-GB"/>
        </w:rPr>
        <w:t>Δϕ</w:t>
      </w:r>
      <w:r w:rsidR="00192CCD">
        <w:rPr>
          <w:rFonts w:ascii="Arial" w:eastAsia="Times New Roman" w:hAnsi="Arial" w:cs="Arial"/>
          <w:sz w:val="20"/>
          <w:szCs w:val="20"/>
          <w:vertAlign w:val="subscript"/>
          <w:lang w:val="en-GB"/>
        </w:rPr>
        <w:t>ref</w:t>
      </w:r>
      <w:proofErr w:type="spellEnd"/>
      <w:r w:rsidR="00192CCD">
        <w:rPr>
          <w:rFonts w:ascii="Arial" w:eastAsia="Times New Roman" w:hAnsi="Arial" w:cs="Arial"/>
          <w:sz w:val="20"/>
          <w:szCs w:val="20"/>
          <w:lang w:val="en-GB"/>
        </w:rPr>
        <w:t>=</w:t>
      </w:r>
      <w:r w:rsidRPr="009D1D16">
        <w:rPr>
          <w:rFonts w:ascii="Arial" w:eastAsia="Times New Roman" w:hAnsi="Arial" w:cs="Arial"/>
          <w:sz w:val="20"/>
          <w:szCs w:val="20"/>
          <w:lang w:val="en-GB"/>
        </w:rPr>
        <w:t>0.1,</w:t>
      </w:r>
      <w:r w:rsidR="00192CCD">
        <w:rPr>
          <w:rFonts w:ascii="Arial" w:eastAsia="Times New Roman" w:hAnsi="Arial" w:cs="Arial"/>
          <w:sz w:val="20"/>
          <w:szCs w:val="20"/>
          <w:lang w:val="en-GB"/>
        </w:rPr>
        <w:t xml:space="preserve"> </w:t>
      </w:r>
      <w:r w:rsidRPr="009D1D16">
        <w:rPr>
          <w:rFonts w:ascii="Arial" w:eastAsia="Times New Roman" w:hAnsi="Arial" w:cs="Arial"/>
          <w:sz w:val="20"/>
          <w:szCs w:val="20"/>
          <w:lang w:val="en-GB"/>
        </w:rPr>
        <w:t>0.05,</w:t>
      </w:r>
      <w:r w:rsidR="00192CCD">
        <w:rPr>
          <w:rFonts w:ascii="Arial" w:eastAsia="Times New Roman" w:hAnsi="Arial" w:cs="Arial"/>
          <w:sz w:val="20"/>
          <w:szCs w:val="20"/>
          <w:lang w:val="en-GB"/>
        </w:rPr>
        <w:t xml:space="preserve"> </w:t>
      </w:r>
      <w:r w:rsidRPr="009D1D16">
        <w:rPr>
          <w:rFonts w:ascii="Arial" w:eastAsia="Times New Roman" w:hAnsi="Arial" w:cs="Arial"/>
          <w:sz w:val="20"/>
          <w:szCs w:val="20"/>
          <w:lang w:val="en-GB"/>
        </w:rPr>
        <w:t>0.025 radians (5.7, 2.8 and 1.4 degrees)</w:t>
      </w:r>
      <w:r w:rsidR="00F715F0">
        <w:rPr>
          <w:rFonts w:ascii="Arial" w:eastAsia="Times New Roman" w:hAnsi="Arial" w:cs="Arial"/>
          <w:sz w:val="20"/>
          <w:szCs w:val="20"/>
          <w:lang w:val="en-GB"/>
        </w:rPr>
        <w:t>. A correlation factor of maximum 0.5 is assumed between the signals from antenna array elements.</w:t>
      </w:r>
    </w:p>
    <w:p w14:paraId="3F987397" w14:textId="77009C6F" w:rsidR="00271DA4" w:rsidRDefault="00271DA4">
      <w:r>
        <w:rPr>
          <w:noProof/>
        </w:rPr>
        <w:lastRenderedPageBreak/>
        <w:drawing>
          <wp:inline distT="0" distB="0" distL="0" distR="0" wp14:anchorId="6D7E4D53" wp14:editId="19F0001B">
            <wp:extent cx="5972810" cy="3767455"/>
            <wp:effectExtent l="0" t="0" r="889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767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BFD2E0" w14:textId="4AD3742E" w:rsidR="00C6371F" w:rsidRDefault="00C6371F">
      <w:r>
        <w:rPr>
          <w:noProof/>
        </w:rPr>
        <w:drawing>
          <wp:inline distT="0" distB="0" distL="0" distR="0" wp14:anchorId="485A38EB" wp14:editId="67AA689A">
            <wp:extent cx="5972810" cy="3512185"/>
            <wp:effectExtent l="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512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1CE2A0" w14:textId="0DB3C834" w:rsidR="004C23CB" w:rsidRDefault="004C23CB">
      <w:r>
        <w:rPr>
          <w:noProof/>
        </w:rPr>
        <w:lastRenderedPageBreak/>
        <w:drawing>
          <wp:inline distT="0" distB="0" distL="0" distR="0" wp14:anchorId="45143E0B" wp14:editId="1A814C0C">
            <wp:extent cx="5972810" cy="3521075"/>
            <wp:effectExtent l="0" t="0" r="889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52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EF2A07" w14:textId="3C8DD18B" w:rsidR="00BB1964" w:rsidRDefault="00631885" w:rsidP="00BB1964">
      <w:r>
        <w:t xml:space="preserve">These results were obtained </w:t>
      </w:r>
      <w:r w:rsidR="005D3DE0">
        <w:t xml:space="preserve">from a pure sparse sampling </w:t>
      </w:r>
      <w:r w:rsidR="004F01EB">
        <w:t xml:space="preserve">analysis, using randomized emission patterns. To decrease the risk of missing emissions we propose to </w:t>
      </w:r>
      <w:r w:rsidR="00DF01B8">
        <w:t>set</w:t>
      </w:r>
      <w:r>
        <w:t xml:space="preserve"> t</w:t>
      </w:r>
      <w:r w:rsidR="00BB1964">
        <w:t>he spectrum analyzer</w:t>
      </w:r>
      <w:r w:rsidR="009D1D16">
        <w:t xml:space="preserve"> </w:t>
      </w:r>
      <w:r>
        <w:t>to detect average value</w:t>
      </w:r>
      <w:r w:rsidR="00192CCD">
        <w:t xml:space="preserve"> (peak hold can also be used for increased sensitivity)</w:t>
      </w:r>
      <w:r>
        <w:t>,</w:t>
      </w:r>
      <w:r w:rsidR="00BB1964">
        <w:t xml:space="preserve"> and </w:t>
      </w:r>
      <w:r w:rsidR="00DF01B8">
        <w:t xml:space="preserve">activate </w:t>
      </w:r>
      <w:r w:rsidR="00BB1964">
        <w:t xml:space="preserve">beam sweeping </w:t>
      </w:r>
      <w:proofErr w:type="gramStart"/>
      <w:r>
        <w:t xml:space="preserve">in order </w:t>
      </w:r>
      <w:r w:rsidR="00BB1964">
        <w:t>to</w:t>
      </w:r>
      <w:proofErr w:type="gramEnd"/>
      <w:r w:rsidR="00BB1964">
        <w:t xml:space="preserve"> minimize the risk of missing </w:t>
      </w:r>
      <w:r>
        <w:t>any significant emission, especially at harmonic frequencies</w:t>
      </w:r>
      <w:r w:rsidR="00BB1964">
        <w:t xml:space="preserve">. </w:t>
      </w:r>
    </w:p>
    <w:p w14:paraId="002C444B" w14:textId="0DA8D0FC" w:rsidR="007C1A24" w:rsidRDefault="004A38D3">
      <w:r>
        <w:t>In the OOB region (highly correlated emissions) the peak can be identified and two (or one) dense cuts c</w:t>
      </w:r>
      <w:r w:rsidR="00D834A6">
        <w:t>an</w:t>
      </w:r>
      <w:r>
        <w:t xml:space="preserve"> be used</w:t>
      </w:r>
      <w:r w:rsidR="00F715F0">
        <w:t xml:space="preserve"> instead of a full sphere grid</w:t>
      </w:r>
      <w:r>
        <w:t xml:space="preserve">. </w:t>
      </w:r>
    </w:p>
    <w:p w14:paraId="6B7DB631" w14:textId="585322D8" w:rsidR="000225C3" w:rsidRDefault="004A38D3">
      <w:r>
        <w:t>In the spurious domain</w:t>
      </w:r>
      <w:r w:rsidR="00631885">
        <w:t>, due to</w:t>
      </w:r>
      <w:r>
        <w:t xml:space="preserve"> low directivity of the emissions</w:t>
      </w:r>
      <w:r w:rsidR="00631885">
        <w:t xml:space="preserve">, </w:t>
      </w:r>
      <w:r>
        <w:t>two</w:t>
      </w:r>
      <w:r w:rsidR="00631885">
        <w:t xml:space="preserve"> orthogonal cuts, or even</w:t>
      </w:r>
      <w:r>
        <w:t xml:space="preserve"> one</w:t>
      </w:r>
      <w:r w:rsidR="00631885">
        <w:t xml:space="preserve"> cut, with </w:t>
      </w:r>
      <w:r>
        <w:t>1</w:t>
      </w:r>
      <w:r w:rsidR="00631885">
        <w:t>5-</w:t>
      </w:r>
      <w:r>
        <w:t>degr</w:t>
      </w:r>
      <w:r w:rsidR="00631885">
        <w:t>ee angular step can be utilized</w:t>
      </w:r>
      <w:r>
        <w:t>.</w:t>
      </w:r>
      <w:r w:rsidR="009235CD">
        <w:t xml:space="preserve"> A correction factor of 2 dB (3 dB)</w:t>
      </w:r>
      <w:r w:rsidR="004A387E">
        <w:t xml:space="preserve"> is used to accommodate for the sparse sampling effect.</w:t>
      </w:r>
      <w:r>
        <w:t xml:space="preserve"> </w:t>
      </w:r>
    </w:p>
    <w:p w14:paraId="78004929" w14:textId="23847839" w:rsidR="00631885" w:rsidRPr="009D1D16" w:rsidRDefault="00631885" w:rsidP="00631885">
      <w:pPr>
        <w:keepNext/>
        <w:numPr>
          <w:ilvl w:val="0"/>
          <w:numId w:val="1"/>
        </w:numPr>
        <w:spacing w:after="240" w:line="240" w:lineRule="auto"/>
        <w:ind w:right="284" w:hanging="720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Conclusion</w:t>
      </w:r>
    </w:p>
    <w:p w14:paraId="69979A1D" w14:textId="58D34DEE" w:rsidR="00631885" w:rsidRDefault="00272031">
      <w:r w:rsidRPr="00777FF9">
        <w:rPr>
          <w:b/>
        </w:rPr>
        <w:t>Proposal:</w:t>
      </w:r>
      <w:r>
        <w:t xml:space="preserve"> </w:t>
      </w:r>
      <w:r w:rsidR="00625C53">
        <w:t xml:space="preserve"> </w:t>
      </w:r>
      <w:r w:rsidR="00F715F0">
        <w:t>Introduce in the TR the option of using an</w:t>
      </w:r>
      <w:r w:rsidR="00625C53">
        <w:t xml:space="preserve"> automated pre-scan method for quickly identif</w:t>
      </w:r>
      <w:r>
        <w:t>ying</w:t>
      </w:r>
      <w:r w:rsidR="00625C53">
        <w:t xml:space="preserve"> the significant emissions to be assessed. </w:t>
      </w:r>
      <w:r w:rsidR="001616DF">
        <w:t xml:space="preserve">For spurious emissions use a two-cut grid with </w:t>
      </w:r>
      <w:proofErr w:type="gramStart"/>
      <w:r w:rsidR="001616DF">
        <w:t>15 degree</w:t>
      </w:r>
      <w:proofErr w:type="gramEnd"/>
      <w:r w:rsidR="001616DF">
        <w:t xml:space="preserve"> steps, and for </w:t>
      </w:r>
      <w:r w:rsidR="007F7EBA">
        <w:t>Out</w:t>
      </w:r>
      <w:r w:rsidR="00F715F0">
        <w:t>-</w:t>
      </w:r>
      <w:r w:rsidR="007F7EBA">
        <w:t>of</w:t>
      </w:r>
      <w:r w:rsidR="00F715F0">
        <w:t>-B</w:t>
      </w:r>
      <w:r w:rsidR="007F7EBA">
        <w:t>and (OOB) emissions, use a two</w:t>
      </w:r>
      <w:r w:rsidR="00F715F0">
        <w:t>-</w:t>
      </w:r>
      <w:r w:rsidR="007F7EBA">
        <w:t xml:space="preserve">cut grid with </w:t>
      </w:r>
      <w:r w:rsidR="00025EEB">
        <w:t>reference steps.</w:t>
      </w:r>
      <w:r w:rsidR="00192CCD">
        <w:t xml:space="preserve"> Pay special attention to the harmonics of the wanted signal, as directivity of those can be significant. </w:t>
      </w:r>
    </w:p>
    <w:p w14:paraId="6071A24C" w14:textId="5169E59E" w:rsidR="00F55F39" w:rsidRPr="00660651" w:rsidRDefault="006765F0">
      <w:pPr>
        <w:rPr>
          <w:b/>
          <w:sz w:val="28"/>
          <w:szCs w:val="28"/>
        </w:rPr>
      </w:pPr>
      <w:r w:rsidRPr="00660651">
        <w:rPr>
          <w:b/>
          <w:sz w:val="28"/>
          <w:szCs w:val="28"/>
        </w:rPr>
        <w:t xml:space="preserve">References </w:t>
      </w:r>
    </w:p>
    <w:p w14:paraId="669ABB3C" w14:textId="332E9C0C" w:rsidR="006765F0" w:rsidRDefault="006765F0">
      <w:r>
        <w:t xml:space="preserve">[1] </w:t>
      </w:r>
      <w:proofErr w:type="spellStart"/>
      <w:r w:rsidR="00660651" w:rsidRPr="00660651">
        <w:t>Fridén</w:t>
      </w:r>
      <w:proofErr w:type="spellEnd"/>
      <w:r w:rsidR="00660651" w:rsidRPr="00660651">
        <w:t xml:space="preserve">, J.; Razavi, A. &amp; Stjernman, A. Angular sampling, Test Signal, and Near-Field Aspects for Over-the-Air Total Radiated Power Assessment in Anechoic </w:t>
      </w:r>
      <w:r w:rsidR="00192CCD" w:rsidRPr="00660651">
        <w:t>Chambers</w:t>
      </w:r>
      <w:r w:rsidR="00192CCD">
        <w:t xml:space="preserve">, </w:t>
      </w:r>
      <w:r w:rsidR="00192CCD" w:rsidRPr="00660651">
        <w:t>IEEE</w:t>
      </w:r>
      <w:r w:rsidR="00660651" w:rsidRPr="00660651">
        <w:t xml:space="preserve"> Access, 2018,</w:t>
      </w:r>
    </w:p>
    <w:sectPr w:rsidR="006765F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B209C6"/>
    <w:multiLevelType w:val="hybridMultilevel"/>
    <w:tmpl w:val="C0E22A6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10F"/>
    <w:rsid w:val="00004F81"/>
    <w:rsid w:val="000225C3"/>
    <w:rsid w:val="00025EEB"/>
    <w:rsid w:val="0009167D"/>
    <w:rsid w:val="000920E7"/>
    <w:rsid w:val="000A259E"/>
    <w:rsid w:val="001572EF"/>
    <w:rsid w:val="001616DF"/>
    <w:rsid w:val="00192CCD"/>
    <w:rsid w:val="00271DA4"/>
    <w:rsid w:val="00272031"/>
    <w:rsid w:val="00306D5F"/>
    <w:rsid w:val="003265B7"/>
    <w:rsid w:val="00331B0E"/>
    <w:rsid w:val="0038335C"/>
    <w:rsid w:val="003A3DCD"/>
    <w:rsid w:val="00400698"/>
    <w:rsid w:val="004145B9"/>
    <w:rsid w:val="00421818"/>
    <w:rsid w:val="00484859"/>
    <w:rsid w:val="00497F14"/>
    <w:rsid w:val="004A387E"/>
    <w:rsid w:val="004A38D3"/>
    <w:rsid w:val="004C23CB"/>
    <w:rsid w:val="004F01EB"/>
    <w:rsid w:val="00502741"/>
    <w:rsid w:val="005D3DE0"/>
    <w:rsid w:val="005E3D07"/>
    <w:rsid w:val="00622D06"/>
    <w:rsid w:val="00625C53"/>
    <w:rsid w:val="00631885"/>
    <w:rsid w:val="00636C45"/>
    <w:rsid w:val="00660651"/>
    <w:rsid w:val="006667F9"/>
    <w:rsid w:val="006765F0"/>
    <w:rsid w:val="006C3789"/>
    <w:rsid w:val="006D45E8"/>
    <w:rsid w:val="006E0E9C"/>
    <w:rsid w:val="006E4683"/>
    <w:rsid w:val="0071187A"/>
    <w:rsid w:val="00751EC3"/>
    <w:rsid w:val="00777FF9"/>
    <w:rsid w:val="007C1A24"/>
    <w:rsid w:val="007F010F"/>
    <w:rsid w:val="007F7EBA"/>
    <w:rsid w:val="0086451A"/>
    <w:rsid w:val="008B03AE"/>
    <w:rsid w:val="008E2448"/>
    <w:rsid w:val="009235CD"/>
    <w:rsid w:val="009D1D16"/>
    <w:rsid w:val="00AC6381"/>
    <w:rsid w:val="00AD5594"/>
    <w:rsid w:val="00AE189A"/>
    <w:rsid w:val="00AE20A7"/>
    <w:rsid w:val="00AF70C6"/>
    <w:rsid w:val="00B16E03"/>
    <w:rsid w:val="00BB1964"/>
    <w:rsid w:val="00C34502"/>
    <w:rsid w:val="00C6371F"/>
    <w:rsid w:val="00C80A75"/>
    <w:rsid w:val="00D834A6"/>
    <w:rsid w:val="00DD6782"/>
    <w:rsid w:val="00DF01B8"/>
    <w:rsid w:val="00E24E62"/>
    <w:rsid w:val="00EA568D"/>
    <w:rsid w:val="00F03061"/>
    <w:rsid w:val="00F42AA7"/>
    <w:rsid w:val="00F55F39"/>
    <w:rsid w:val="00F715F0"/>
    <w:rsid w:val="00FB4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052A9"/>
  <w15:chartTrackingRefBased/>
  <w15:docId w15:val="{62A7F9F8-D76A-4D08-A538-BB5817369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1B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1B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8E24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24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244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24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244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4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448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636C4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36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image" Target="media/image2.png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5NUHHDQN7SK2-1476151046-33415</_dlc_DocId>
    <_dlc_DocIdUrl xmlns="f166a696-7b5b-4ccd-9f0c-ffde0cceec81">
      <Url>https://ericsson.sharepoint.com/sites/star/_layouts/15/DocIdRedir.aspx?ID=5NUHHDQN7SK2-1476151046-33415</Url>
      <Description>5NUHHDQN7SK2-1476151046-33415</Description>
    </_dlc_DocIdUrl>
    <_Flow_SignoffStatus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3A497D-62EA-413A-B948-A6165C1DAC4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56AA54E-0DE2-447B-B8EB-6E1CF108B1C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EA5DF8A-ACB5-4C16-92EE-869C808FC3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CB6560-DF71-4865-91DA-940C42F64EB4}">
  <ds:schemaRefs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A10E20A-7E49-46BC-A3A1-E87301CA38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3</Pages>
  <Words>441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 Friden</dc:creator>
  <cp:keywords/>
  <dc:description/>
  <cp:lastModifiedBy>Aurelian Bria</cp:lastModifiedBy>
  <cp:revision>66</cp:revision>
  <dcterms:created xsi:type="dcterms:W3CDTF">2018-09-18T12:34:00Z</dcterms:created>
  <dcterms:modified xsi:type="dcterms:W3CDTF">2018-11-02T18:56:00Z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Products">
    <vt:lpwstr/>
  </property>
  <property fmtid="{D5CDD505-2E9C-101B-9397-08002B2CF9AE}" pid="7" name="EriCOLLCustomer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_dlc_DocIdItemGuid">
    <vt:lpwstr>41d4744b-c48e-404e-989d-efcaafa92c38</vt:lpwstr>
  </property>
</Properties>
</file>